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CF49B9">
      <w:pPr>
        <w:pStyle w:val="Ttulo2"/>
        <w:rPr>
          <w:i w:val="0"/>
        </w:rPr>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trPr>
          <w:trHeight w:val="583"/>
          <w:jc w:val="center"/>
        </w:trPr>
        <w:tc>
          <w:tcPr>
            <w:tcW w:w="2405" w:type="dxa"/>
            <w:gridSpan w:val="2"/>
            <w:shd w:val="clear" w:color="auto" w:fill="AEAAAA"/>
            <w:vAlign w:val="center"/>
          </w:tcPr>
          <w:p w14:paraId="3D68668B" w14:textId="77777777" w:rsidR="00CF49B9" w:rsidRDefault="00CF49B9">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02DABD91" w:rsidR="00CF49B9" w:rsidRDefault="00B42C5C">
            <w:pPr>
              <w:pBdr>
                <w:top w:val="nil"/>
                <w:left w:val="nil"/>
                <w:bottom w:val="nil"/>
                <w:right w:val="nil"/>
                <w:between w:val="nil"/>
              </w:pBdr>
              <w:spacing w:before="20" w:after="0" w:line="240" w:lineRule="auto"/>
              <w:rPr>
                <w:rFonts w:ascii="Cambria" w:eastAsia="Cambria" w:hAnsi="Cambria" w:cs="Cambria"/>
                <w:color w:val="FFFFFF"/>
                <w:sz w:val="16"/>
                <w:szCs w:val="16"/>
              </w:rPr>
            </w:pPr>
            <w:r>
              <w:rPr>
                <w:rFonts w:ascii="Cambria" w:eastAsia="Cambria" w:hAnsi="Cambria" w:cs="Cambria"/>
                <w:color w:val="FFFFFF"/>
                <w:sz w:val="16"/>
                <w:szCs w:val="16"/>
              </w:rPr>
              <w:t xml:space="preserve">Evaluación de procesos del programa </w:t>
            </w:r>
            <w:r w:rsidR="00BC3954">
              <w:rPr>
                <w:rFonts w:ascii="Cambria" w:eastAsia="Cambria" w:hAnsi="Cambria" w:cs="Cambria"/>
                <w:color w:val="FFFFFF"/>
                <w:sz w:val="16"/>
                <w:szCs w:val="16"/>
              </w:rPr>
              <w:t>Producción para el Bienestar</w:t>
            </w:r>
          </w:p>
        </w:tc>
      </w:tr>
      <w:tr w:rsidR="00CF49B9" w14:paraId="561909D9" w14:textId="77777777">
        <w:trPr>
          <w:trHeight w:val="583"/>
          <w:jc w:val="center"/>
        </w:trPr>
        <w:tc>
          <w:tcPr>
            <w:tcW w:w="2405" w:type="dxa"/>
            <w:gridSpan w:val="2"/>
            <w:shd w:val="clear" w:color="auto" w:fill="auto"/>
            <w:vAlign w:val="center"/>
          </w:tcPr>
          <w:p w14:paraId="25A47DD4"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074095EF" w:rsidR="00CF49B9" w:rsidRDefault="00B42C5C">
            <w:pPr>
              <w:pBdr>
                <w:top w:val="nil"/>
                <w:left w:val="nil"/>
                <w:bottom w:val="nil"/>
                <w:right w:val="nil"/>
                <w:between w:val="nil"/>
              </w:pBdr>
              <w:spacing w:before="20" w:after="0" w:line="240" w:lineRule="auto"/>
              <w:rPr>
                <w:rFonts w:ascii="Cambria" w:eastAsia="Cambria" w:hAnsi="Cambria" w:cs="Cambria"/>
                <w:color w:val="000000"/>
                <w:sz w:val="16"/>
                <w:szCs w:val="16"/>
              </w:rPr>
            </w:pPr>
            <w:r w:rsidRPr="00B42C5C">
              <w:rPr>
                <w:rFonts w:ascii="Cambria" w:eastAsia="Cambria" w:hAnsi="Cambria" w:cs="Cambria"/>
                <w:color w:val="000000"/>
                <w:sz w:val="16"/>
                <w:szCs w:val="16"/>
              </w:rPr>
              <w:t xml:space="preserve">Realizar un análisis sistemático de la gestión operativa </w:t>
            </w:r>
            <w:r w:rsidR="00B041D2" w:rsidRPr="002B1E91">
              <w:rPr>
                <w:rFonts w:ascii="Cambria" w:eastAsia="Cambria" w:hAnsi="Cambria" w:cs="Cambria"/>
                <w:sz w:val="16"/>
                <w:szCs w:val="16"/>
              </w:rPr>
              <w:t>del</w:t>
            </w:r>
            <w:r w:rsidRPr="002B1E91">
              <w:rPr>
                <w:rFonts w:ascii="Cambria" w:eastAsia="Cambria" w:hAnsi="Cambria" w:cs="Cambria"/>
                <w:sz w:val="16"/>
                <w:szCs w:val="16"/>
              </w:rPr>
              <w:t xml:space="preserve"> </w:t>
            </w:r>
            <w:r w:rsidR="0088018A" w:rsidRPr="002B1E91">
              <w:rPr>
                <w:rFonts w:ascii="Cambria" w:eastAsia="Cambria" w:hAnsi="Cambria" w:cs="Cambria"/>
                <w:sz w:val="16"/>
                <w:szCs w:val="16"/>
              </w:rPr>
              <w:t xml:space="preserve">Programa </w:t>
            </w:r>
            <w:r w:rsidR="002B1E91" w:rsidRPr="002B1E91">
              <w:rPr>
                <w:rFonts w:ascii="Cambria" w:eastAsia="Cambria" w:hAnsi="Cambria" w:cs="Cambria"/>
                <w:sz w:val="16"/>
                <w:szCs w:val="16"/>
              </w:rPr>
              <w:t>Producción para el Bienestar</w:t>
            </w:r>
            <w:r w:rsidRPr="002B1E91">
              <w:rPr>
                <w:rFonts w:ascii="Cambria" w:eastAsia="Cambria" w:hAnsi="Cambria" w:cs="Cambria"/>
                <w:sz w:val="16"/>
                <w:szCs w:val="16"/>
              </w:rPr>
              <w:t xml:space="preserve">, que permita valorar si dicha gestión cumple con lo necesario para el logro de las metas y objetivos </w:t>
            </w:r>
            <w:proofErr w:type="gramStart"/>
            <w:r w:rsidRPr="002B1E91">
              <w:rPr>
                <w:rFonts w:ascii="Cambria" w:eastAsia="Cambria" w:hAnsi="Cambria" w:cs="Cambria"/>
                <w:sz w:val="16"/>
                <w:szCs w:val="16"/>
              </w:rPr>
              <w:t>de</w:t>
            </w:r>
            <w:r w:rsidR="00B041D2" w:rsidRPr="002B1E91">
              <w:rPr>
                <w:rFonts w:ascii="Cambria" w:eastAsia="Cambria" w:hAnsi="Cambria" w:cs="Cambria"/>
                <w:sz w:val="16"/>
                <w:szCs w:val="16"/>
              </w:rPr>
              <w:t>l mismo</w:t>
            </w:r>
            <w:proofErr w:type="gramEnd"/>
            <w:r w:rsidRPr="002B1E91">
              <w:rPr>
                <w:rFonts w:ascii="Cambria" w:eastAsia="Cambria" w:hAnsi="Cambria" w:cs="Cambria"/>
                <w:sz w:val="16"/>
                <w:szCs w:val="16"/>
              </w:rPr>
              <w:t xml:space="preserve">. Así como, hacer recomendaciones que permitan </w:t>
            </w:r>
            <w:r w:rsidRPr="00B42C5C">
              <w:rPr>
                <w:rFonts w:ascii="Cambria" w:eastAsia="Cambria" w:hAnsi="Cambria" w:cs="Cambria"/>
                <w:color w:val="000000"/>
                <w:sz w:val="16"/>
                <w:szCs w:val="16"/>
              </w:rPr>
              <w:t xml:space="preserve">la instrumentación de mejoras.  </w:t>
            </w:r>
          </w:p>
        </w:tc>
      </w:tr>
      <w:tr w:rsidR="00CF49B9" w14:paraId="54BAB56D" w14:textId="77777777">
        <w:trPr>
          <w:trHeight w:val="583"/>
          <w:jc w:val="center"/>
        </w:trPr>
        <w:tc>
          <w:tcPr>
            <w:tcW w:w="2405" w:type="dxa"/>
            <w:gridSpan w:val="2"/>
            <w:shd w:val="clear" w:color="auto" w:fill="D9D9D9"/>
            <w:vAlign w:val="center"/>
          </w:tcPr>
          <w:p w14:paraId="199BB73B"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59D526E6" w:rsidR="00CF49B9" w:rsidRDefault="00B041D2">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7111873A" w:rsidR="00CF49B9" w:rsidRDefault="00B041D2">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trPr>
          <w:trHeight w:val="583"/>
          <w:jc w:val="center"/>
        </w:trPr>
        <w:tc>
          <w:tcPr>
            <w:tcW w:w="1129" w:type="dxa"/>
            <w:shd w:val="clear" w:color="auto" w:fill="auto"/>
            <w:vAlign w:val="center"/>
          </w:tcPr>
          <w:p w14:paraId="19CF01D3" w14:textId="77777777" w:rsidR="00CF49B9" w:rsidRPr="00C16422" w:rsidRDefault="00CF49B9">
            <w:pPr>
              <w:pBdr>
                <w:top w:val="nil"/>
                <w:left w:val="nil"/>
                <w:bottom w:val="nil"/>
                <w:right w:val="nil"/>
                <w:between w:val="nil"/>
              </w:pBdr>
              <w:spacing w:after="0" w:line="240" w:lineRule="auto"/>
              <w:rPr>
                <w:rFonts w:ascii="Cambria" w:eastAsia="Cambria" w:hAnsi="Cambria" w:cs="Cambria"/>
                <w:b/>
                <w:sz w:val="16"/>
                <w:szCs w:val="16"/>
              </w:rPr>
            </w:pPr>
            <w:r w:rsidRPr="00C16422">
              <w:rPr>
                <w:rFonts w:ascii="Cambria" w:eastAsia="Cambria" w:hAnsi="Cambria" w:cs="Cambria"/>
                <w:b/>
                <w:sz w:val="16"/>
                <w:szCs w:val="16"/>
              </w:rPr>
              <w:t>Ramo:</w:t>
            </w:r>
          </w:p>
        </w:tc>
        <w:tc>
          <w:tcPr>
            <w:tcW w:w="7812" w:type="dxa"/>
            <w:gridSpan w:val="6"/>
            <w:shd w:val="clear" w:color="auto" w:fill="auto"/>
            <w:vAlign w:val="center"/>
          </w:tcPr>
          <w:p w14:paraId="3585AC5B" w14:textId="5057CC92" w:rsidR="00CF49B9" w:rsidRPr="00C16422" w:rsidRDefault="00EA0137">
            <w:pPr>
              <w:pBdr>
                <w:top w:val="nil"/>
                <w:left w:val="nil"/>
                <w:bottom w:val="nil"/>
                <w:right w:val="nil"/>
                <w:between w:val="nil"/>
              </w:pBdr>
              <w:spacing w:before="120" w:after="120" w:line="240" w:lineRule="auto"/>
              <w:rPr>
                <w:rFonts w:ascii="Cambria" w:eastAsia="Cambria" w:hAnsi="Cambria" w:cs="Cambria"/>
                <w:sz w:val="16"/>
                <w:szCs w:val="16"/>
              </w:rPr>
            </w:pPr>
            <w:r w:rsidRPr="00C16422">
              <w:rPr>
                <w:rFonts w:ascii="Cambria" w:eastAsia="Cambria" w:hAnsi="Cambria" w:cs="Cambria"/>
                <w:sz w:val="16"/>
                <w:szCs w:val="16"/>
              </w:rPr>
              <w:t>08</w:t>
            </w:r>
            <w:r w:rsidR="00B041D2" w:rsidRPr="00C16422">
              <w:rPr>
                <w:rFonts w:ascii="Cambria" w:eastAsia="Cambria" w:hAnsi="Cambria" w:cs="Cambria"/>
                <w:sz w:val="16"/>
                <w:szCs w:val="16"/>
              </w:rPr>
              <w:t xml:space="preserve"> </w:t>
            </w:r>
            <w:proofErr w:type="gramStart"/>
            <w:r w:rsidRPr="00C16422">
              <w:rPr>
                <w:rFonts w:ascii="Cambria" w:eastAsia="Cambria" w:hAnsi="Cambria" w:cs="Cambria"/>
                <w:sz w:val="16"/>
                <w:szCs w:val="16"/>
              </w:rPr>
              <w:t>Agricultura</w:t>
            </w:r>
            <w:proofErr w:type="gramEnd"/>
            <w:r w:rsidRPr="00C16422">
              <w:rPr>
                <w:rFonts w:ascii="Cambria" w:eastAsia="Cambria" w:hAnsi="Cambria" w:cs="Cambria"/>
                <w:sz w:val="16"/>
                <w:szCs w:val="16"/>
              </w:rPr>
              <w:t xml:space="preserve"> y Desarrollo Rural</w:t>
            </w:r>
          </w:p>
        </w:tc>
      </w:tr>
      <w:tr w:rsidR="00CF49B9" w14:paraId="027B0C2A" w14:textId="77777777">
        <w:trPr>
          <w:trHeight w:val="583"/>
          <w:jc w:val="center"/>
        </w:trPr>
        <w:tc>
          <w:tcPr>
            <w:tcW w:w="1129" w:type="dxa"/>
            <w:shd w:val="clear" w:color="auto" w:fill="E7E6E6"/>
            <w:vAlign w:val="center"/>
          </w:tcPr>
          <w:p w14:paraId="6C881CD4"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37518BD0" w:rsidR="00CF49B9" w:rsidRDefault="00B041D2">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S2</w:t>
            </w:r>
            <w:r w:rsidR="00EA0137">
              <w:rPr>
                <w:rFonts w:ascii="Cambria" w:eastAsia="Cambria" w:hAnsi="Cambria" w:cs="Cambria"/>
                <w:color w:val="000000"/>
                <w:sz w:val="16"/>
                <w:szCs w:val="16"/>
              </w:rPr>
              <w:t>9</w:t>
            </w:r>
            <w:r w:rsidR="002B1E91">
              <w:rPr>
                <w:rFonts w:ascii="Cambria" w:eastAsia="Cambria" w:hAnsi="Cambria" w:cs="Cambria"/>
                <w:color w:val="000000"/>
                <w:sz w:val="16"/>
                <w:szCs w:val="16"/>
              </w:rPr>
              <w:t>3</w:t>
            </w:r>
          </w:p>
        </w:tc>
        <w:tc>
          <w:tcPr>
            <w:tcW w:w="2126" w:type="dxa"/>
            <w:shd w:val="clear" w:color="auto" w:fill="E7E6E6"/>
            <w:vAlign w:val="center"/>
          </w:tcPr>
          <w:p w14:paraId="334F6F10" w14:textId="77777777" w:rsidR="00CF49B9" w:rsidRPr="00FF673C" w:rsidRDefault="00CF49B9">
            <w:pPr>
              <w:pBdr>
                <w:top w:val="nil"/>
                <w:left w:val="nil"/>
                <w:bottom w:val="nil"/>
                <w:right w:val="nil"/>
                <w:between w:val="nil"/>
              </w:pBdr>
              <w:spacing w:before="20" w:after="0" w:line="240" w:lineRule="auto"/>
              <w:rPr>
                <w:rFonts w:ascii="Cambria" w:eastAsia="Cambria" w:hAnsi="Cambria" w:cs="Cambria"/>
                <w:b/>
                <w:sz w:val="16"/>
                <w:szCs w:val="16"/>
              </w:rPr>
            </w:pPr>
            <w:r w:rsidRPr="00FF673C">
              <w:rPr>
                <w:rFonts w:ascii="Cambria" w:eastAsia="Cambria" w:hAnsi="Cambria" w:cs="Cambria"/>
                <w:b/>
                <w:sz w:val="16"/>
                <w:szCs w:val="16"/>
              </w:rPr>
              <w:t xml:space="preserve">Denominación </w:t>
            </w:r>
            <w:proofErr w:type="spellStart"/>
            <w:r w:rsidRPr="00FF673C">
              <w:rPr>
                <w:rFonts w:ascii="Cambria" w:eastAsia="Cambria" w:hAnsi="Cambria" w:cs="Cambria"/>
                <w:b/>
                <w:sz w:val="16"/>
                <w:szCs w:val="16"/>
              </w:rPr>
              <w:t>Pp</w:t>
            </w:r>
            <w:proofErr w:type="spellEnd"/>
            <w:r w:rsidRPr="00FF673C">
              <w:rPr>
                <w:rFonts w:ascii="Cambria" w:eastAsia="Cambria" w:hAnsi="Cambria" w:cs="Cambria"/>
                <w:b/>
                <w:sz w:val="16"/>
                <w:szCs w:val="16"/>
              </w:rPr>
              <w:t>:</w:t>
            </w:r>
          </w:p>
        </w:tc>
        <w:tc>
          <w:tcPr>
            <w:tcW w:w="4410" w:type="dxa"/>
            <w:gridSpan w:val="4"/>
            <w:shd w:val="clear" w:color="auto" w:fill="E7E6E6"/>
            <w:vAlign w:val="center"/>
          </w:tcPr>
          <w:p w14:paraId="709796A4" w14:textId="2C33CE85" w:rsidR="00CF49B9" w:rsidRPr="00FF673C" w:rsidRDefault="00EA0137">
            <w:pPr>
              <w:pBdr>
                <w:top w:val="nil"/>
                <w:left w:val="nil"/>
                <w:bottom w:val="nil"/>
                <w:right w:val="nil"/>
                <w:between w:val="nil"/>
              </w:pBdr>
              <w:spacing w:before="20" w:after="0" w:line="240" w:lineRule="auto"/>
              <w:rPr>
                <w:rFonts w:ascii="Cambria" w:eastAsia="Cambria" w:hAnsi="Cambria" w:cs="Cambria"/>
                <w:i/>
                <w:sz w:val="16"/>
                <w:szCs w:val="16"/>
              </w:rPr>
            </w:pPr>
            <w:r w:rsidRPr="00FF673C">
              <w:rPr>
                <w:rFonts w:ascii="Cambria" w:eastAsia="Cambria" w:hAnsi="Cambria" w:cs="Cambria"/>
                <w:sz w:val="16"/>
                <w:szCs w:val="16"/>
              </w:rPr>
              <w:t>Producción para el Bienestar</w:t>
            </w:r>
          </w:p>
        </w:tc>
      </w:tr>
      <w:tr w:rsidR="00CF49B9" w14:paraId="18F56C4E" w14:textId="77777777">
        <w:trPr>
          <w:trHeight w:val="583"/>
          <w:jc w:val="center"/>
        </w:trPr>
        <w:tc>
          <w:tcPr>
            <w:tcW w:w="2405" w:type="dxa"/>
            <w:gridSpan w:val="2"/>
            <w:shd w:val="clear" w:color="auto" w:fill="auto"/>
            <w:vAlign w:val="center"/>
          </w:tcPr>
          <w:p w14:paraId="458E6107" w14:textId="77777777" w:rsidR="00CF49B9" w:rsidRPr="00C16422" w:rsidRDefault="00CF49B9">
            <w:pPr>
              <w:pBdr>
                <w:top w:val="nil"/>
                <w:left w:val="nil"/>
                <w:bottom w:val="nil"/>
                <w:right w:val="nil"/>
                <w:between w:val="nil"/>
              </w:pBdr>
              <w:spacing w:before="20" w:after="0" w:line="240" w:lineRule="auto"/>
              <w:rPr>
                <w:rFonts w:ascii="Cambria" w:eastAsia="Cambria" w:hAnsi="Cambria" w:cs="Cambria"/>
                <w:b/>
                <w:sz w:val="16"/>
                <w:szCs w:val="16"/>
              </w:rPr>
            </w:pPr>
            <w:r w:rsidRPr="00C16422">
              <w:rPr>
                <w:rFonts w:ascii="Cambria" w:eastAsia="Cambria" w:hAnsi="Cambria" w:cs="Cambria"/>
                <w:b/>
                <w:sz w:val="16"/>
                <w:szCs w:val="16"/>
              </w:rPr>
              <w:t>Unidad Responsable (UR):</w:t>
            </w:r>
          </w:p>
        </w:tc>
        <w:tc>
          <w:tcPr>
            <w:tcW w:w="6536" w:type="dxa"/>
            <w:gridSpan w:val="5"/>
            <w:shd w:val="clear" w:color="auto" w:fill="auto"/>
            <w:vAlign w:val="center"/>
          </w:tcPr>
          <w:p w14:paraId="022D251D" w14:textId="6B393DD7" w:rsidR="00CF49B9" w:rsidRPr="002B1E91" w:rsidRDefault="002B1E91">
            <w:pPr>
              <w:pBdr>
                <w:top w:val="nil"/>
                <w:left w:val="nil"/>
                <w:bottom w:val="nil"/>
                <w:right w:val="nil"/>
                <w:between w:val="nil"/>
              </w:pBdr>
              <w:spacing w:before="20" w:after="0" w:line="240" w:lineRule="auto"/>
              <w:rPr>
                <w:rFonts w:ascii="Cambria" w:eastAsia="Cambria" w:hAnsi="Cambria" w:cs="Cambria"/>
                <w:color w:val="FF0000"/>
                <w:sz w:val="16"/>
                <w:szCs w:val="16"/>
                <w:highlight w:val="yellow"/>
              </w:rPr>
            </w:pPr>
            <w:r w:rsidRPr="00FF673C">
              <w:rPr>
                <w:rFonts w:ascii="Cambria" w:eastAsia="Cambria" w:hAnsi="Cambria" w:cs="Cambria"/>
                <w:sz w:val="16"/>
                <w:szCs w:val="16"/>
              </w:rPr>
              <w:t>Direc</w:t>
            </w:r>
            <w:r w:rsidRPr="00FF673C">
              <w:rPr>
                <w:rFonts w:ascii="Cambria" w:eastAsia="Cambria" w:hAnsi="Cambria" w:cs="Cambria"/>
                <w:sz w:val="16"/>
                <w:szCs w:val="16"/>
              </w:rPr>
              <w:t>ción</w:t>
            </w:r>
            <w:r w:rsidRPr="00FF673C">
              <w:rPr>
                <w:rFonts w:ascii="Cambria" w:eastAsia="Cambria" w:hAnsi="Cambria" w:cs="Cambria"/>
                <w:sz w:val="16"/>
                <w:szCs w:val="16"/>
              </w:rPr>
              <w:t xml:space="preserve"> General de Apoyos Productivos Directos</w:t>
            </w:r>
          </w:p>
        </w:tc>
      </w:tr>
      <w:tr w:rsidR="00CF49B9" w14:paraId="6E149FBC" w14:textId="77777777">
        <w:trPr>
          <w:trHeight w:val="583"/>
          <w:jc w:val="center"/>
        </w:trPr>
        <w:tc>
          <w:tcPr>
            <w:tcW w:w="2405" w:type="dxa"/>
            <w:gridSpan w:val="2"/>
            <w:shd w:val="clear" w:color="auto" w:fill="auto"/>
            <w:vAlign w:val="center"/>
          </w:tcPr>
          <w:p w14:paraId="1A48AA9B" w14:textId="77777777" w:rsidR="00CF49B9" w:rsidRPr="00B23A0A"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B23A0A">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2F0255C5" w:rsidR="00CF49B9" w:rsidRPr="00B23A0A" w:rsidRDefault="00EA0137" w:rsidP="00770106">
            <w:pPr>
              <w:pBdr>
                <w:top w:val="nil"/>
                <w:left w:val="nil"/>
                <w:bottom w:val="nil"/>
                <w:right w:val="nil"/>
                <w:between w:val="nil"/>
              </w:pBdr>
              <w:spacing w:before="20" w:after="0" w:line="240" w:lineRule="auto"/>
              <w:rPr>
                <w:rFonts w:ascii="Cambria" w:eastAsia="Cambria" w:hAnsi="Cambria" w:cs="Cambria"/>
                <w:color w:val="000000"/>
                <w:sz w:val="16"/>
                <w:szCs w:val="16"/>
              </w:rPr>
            </w:pPr>
            <w:r w:rsidRPr="00EA0137">
              <w:rPr>
                <w:rFonts w:ascii="Cambria" w:eastAsia="Cambria" w:hAnsi="Cambria" w:cs="Cambria"/>
                <w:color w:val="000000"/>
                <w:sz w:val="16"/>
                <w:szCs w:val="16"/>
              </w:rPr>
              <w:t>Dirección General de Supervisión, Evaluación y Rendición de Cuentas</w:t>
            </w:r>
          </w:p>
        </w:tc>
      </w:tr>
      <w:tr w:rsidR="00CF49B9" w14:paraId="02685FF9" w14:textId="77777777">
        <w:trPr>
          <w:trHeight w:val="317"/>
          <w:jc w:val="center"/>
        </w:trPr>
        <w:tc>
          <w:tcPr>
            <w:tcW w:w="2405" w:type="dxa"/>
            <w:gridSpan w:val="2"/>
            <w:vMerge w:val="restart"/>
            <w:shd w:val="clear" w:color="auto" w:fill="E7E6E6"/>
            <w:vAlign w:val="center"/>
          </w:tcPr>
          <w:p w14:paraId="2840F44C"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02E786F0" w:rsidR="00CF49B9" w:rsidRDefault="007954FF">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7954FF">
              <w:rPr>
                <w:rFonts w:ascii="Cambria" w:eastAsia="Cambria" w:hAnsi="Cambria" w:cs="Cambria"/>
                <w:color w:val="000000"/>
                <w:sz w:val="16"/>
                <w:szCs w:val="16"/>
              </w:rPr>
              <w:t>Universidad Autónoma Chapingo</w:t>
            </w:r>
          </w:p>
        </w:tc>
      </w:tr>
      <w:tr w:rsidR="00CF49B9" w14:paraId="339EC670" w14:textId="77777777">
        <w:trPr>
          <w:trHeight w:val="293"/>
          <w:jc w:val="center"/>
        </w:trPr>
        <w:tc>
          <w:tcPr>
            <w:tcW w:w="2405" w:type="dxa"/>
            <w:gridSpan w:val="2"/>
            <w:vMerge/>
            <w:shd w:val="clear" w:color="auto" w:fill="E7E6E6"/>
            <w:vAlign w:val="center"/>
          </w:tcPr>
          <w:p w14:paraId="79367E03" w14:textId="77777777" w:rsidR="00CF49B9" w:rsidRDefault="00CF49B9">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220093AE" w:rsidR="00CF49B9" w:rsidRPr="000A3C98" w:rsidRDefault="007954FF">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Norman Aguilar Gallegos</w:t>
            </w:r>
          </w:p>
        </w:tc>
      </w:tr>
      <w:tr w:rsidR="00CF49B9" w14:paraId="4BEB9A2E" w14:textId="77777777">
        <w:trPr>
          <w:trHeight w:val="397"/>
          <w:jc w:val="center"/>
        </w:trPr>
        <w:tc>
          <w:tcPr>
            <w:tcW w:w="2405" w:type="dxa"/>
            <w:gridSpan w:val="2"/>
            <w:vMerge/>
            <w:shd w:val="clear" w:color="auto" w:fill="E7E6E6"/>
            <w:vAlign w:val="center"/>
          </w:tcPr>
          <w:p w14:paraId="6D2F8057" w14:textId="77777777" w:rsidR="00CF49B9" w:rsidRDefault="00CF49B9">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4D1E7B1A" w14:textId="0FFBC447" w:rsidR="002B1E91" w:rsidRPr="002B1E91"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Horacio Santoyo Cortés</w:t>
            </w:r>
          </w:p>
          <w:p w14:paraId="2565654B" w14:textId="2687E9EC" w:rsidR="002B1E91" w:rsidRPr="002B1E91"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Jimena Achiquen Millán</w:t>
            </w:r>
          </w:p>
          <w:p w14:paraId="3DEBC7B6" w14:textId="16E6FFE1" w:rsidR="002B1E91" w:rsidRPr="002B1E91"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María Guadalupe González Ramírez</w:t>
            </w:r>
          </w:p>
          <w:p w14:paraId="19596650" w14:textId="58ECAD5F" w:rsidR="002B1E91" w:rsidRPr="002B1E91"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Irma Maldonado Hernández</w:t>
            </w:r>
          </w:p>
          <w:p w14:paraId="15B6D2B2" w14:textId="1B820D95" w:rsidR="002B1E91" w:rsidRPr="002B1E91"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Víctor Hugo Villaseñor Carmona</w:t>
            </w:r>
          </w:p>
          <w:p w14:paraId="21BDC305" w14:textId="77F89F00" w:rsidR="002B1E91" w:rsidRPr="002B1E91"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Francisco Javier Castañeda Trujano</w:t>
            </w:r>
          </w:p>
          <w:p w14:paraId="1A3059A4" w14:textId="53B9F325" w:rsidR="00CF49B9" w:rsidRPr="000A3C98" w:rsidRDefault="002B1E91" w:rsidP="002B1E91">
            <w:pPr>
              <w:pBdr>
                <w:top w:val="nil"/>
                <w:left w:val="nil"/>
                <w:bottom w:val="nil"/>
                <w:right w:val="nil"/>
                <w:between w:val="nil"/>
              </w:pBdr>
              <w:spacing w:after="0" w:line="240" w:lineRule="auto"/>
              <w:rPr>
                <w:rFonts w:ascii="Cambria" w:eastAsia="Cambria" w:hAnsi="Cambria" w:cs="Cambria"/>
                <w:iCs/>
                <w:color w:val="000000"/>
                <w:sz w:val="16"/>
                <w:szCs w:val="16"/>
              </w:rPr>
            </w:pPr>
            <w:r w:rsidRPr="002B1E91">
              <w:rPr>
                <w:rFonts w:ascii="Cambria" w:eastAsia="Cambria" w:hAnsi="Cambria" w:cs="Cambria"/>
                <w:iCs/>
                <w:color w:val="000000"/>
                <w:sz w:val="16"/>
                <w:szCs w:val="16"/>
              </w:rPr>
              <w:t>José Alfredo Olvera Martínez</w:t>
            </w:r>
          </w:p>
        </w:tc>
      </w:tr>
      <w:tr w:rsidR="00CF49B9" w14:paraId="3A9D2D4E" w14:textId="77777777">
        <w:trPr>
          <w:trHeight w:val="583"/>
          <w:jc w:val="center"/>
        </w:trPr>
        <w:tc>
          <w:tcPr>
            <w:tcW w:w="2405" w:type="dxa"/>
            <w:gridSpan w:val="2"/>
            <w:shd w:val="clear" w:color="auto" w:fill="auto"/>
            <w:vAlign w:val="center"/>
          </w:tcPr>
          <w:p w14:paraId="2886B9FE"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4545C10B" w:rsidR="00CF49B9" w:rsidRDefault="007954FF">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Licitación Pública Nacional</w:t>
            </w:r>
            <w:r w:rsidR="000A3C98">
              <w:rPr>
                <w:rFonts w:ascii="Cambria" w:eastAsia="Cambria" w:hAnsi="Cambria" w:cs="Cambria"/>
                <w:color w:val="000000"/>
                <w:sz w:val="16"/>
                <w:szCs w:val="16"/>
              </w:rPr>
              <w:t xml:space="preserve"> Electrónica</w:t>
            </w:r>
          </w:p>
        </w:tc>
        <w:tc>
          <w:tcPr>
            <w:tcW w:w="2144" w:type="dxa"/>
            <w:gridSpan w:val="2"/>
            <w:shd w:val="clear" w:color="auto" w:fill="auto"/>
            <w:vAlign w:val="center"/>
          </w:tcPr>
          <w:p w14:paraId="58C862CE" w14:textId="77777777" w:rsidR="00CF49B9" w:rsidRDefault="00CF49B9">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354134CE" w14:textId="77777777" w:rsidR="00CF49B9" w:rsidRDefault="007954FF">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$3,977,640.00 (Tres millones novecientos setenta y siete mil seiscientos cuarenta pesos 00/100 M.N.)</w:t>
            </w:r>
          </w:p>
          <w:p w14:paraId="1A834FE8" w14:textId="4549669D" w:rsidR="007954FF" w:rsidRDefault="007954FF">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Costo total del proyecto “Evaluación de procesos a tres programas prioritarios de apoyos al campo”, dentro del cual se realizó esta evaluación.</w:t>
            </w:r>
          </w:p>
        </w:tc>
      </w:tr>
      <w:tr w:rsidR="00CF49B9" w14:paraId="7BB3E56C" w14:textId="77777777">
        <w:trPr>
          <w:trHeight w:val="583"/>
          <w:jc w:val="center"/>
        </w:trPr>
        <w:tc>
          <w:tcPr>
            <w:tcW w:w="2405" w:type="dxa"/>
            <w:gridSpan w:val="2"/>
            <w:shd w:val="clear" w:color="auto" w:fill="auto"/>
            <w:vAlign w:val="center"/>
          </w:tcPr>
          <w:p w14:paraId="3ADFE1C1"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00FE80FE" w:rsidR="00CF49B9" w:rsidRDefault="000A3C98">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Individual</w:t>
            </w:r>
          </w:p>
        </w:tc>
        <w:tc>
          <w:tcPr>
            <w:tcW w:w="2144" w:type="dxa"/>
            <w:gridSpan w:val="2"/>
            <w:shd w:val="clear" w:color="auto" w:fill="auto"/>
            <w:vAlign w:val="center"/>
          </w:tcPr>
          <w:p w14:paraId="0AAF4849" w14:textId="77777777" w:rsidR="00CF49B9" w:rsidRDefault="00CF49B9">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235F59D0" w14:textId="77777777" w:rsidR="000A3C98" w:rsidRDefault="000A3C98">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Recursos federales </w:t>
            </w:r>
          </w:p>
          <w:p w14:paraId="0174DFA1" w14:textId="38FB7FB7" w:rsidR="00CF49B9" w:rsidRDefault="007954FF">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Partida presupuestal 33501 “Estudios e investigaciones”</w:t>
            </w:r>
          </w:p>
        </w:tc>
      </w:tr>
      <w:tr w:rsidR="00CF49B9" w14:paraId="007C6984" w14:textId="77777777">
        <w:trPr>
          <w:trHeight w:val="583"/>
          <w:jc w:val="center"/>
        </w:trPr>
        <w:tc>
          <w:tcPr>
            <w:tcW w:w="2405" w:type="dxa"/>
            <w:gridSpan w:val="2"/>
            <w:shd w:val="clear" w:color="auto" w:fill="D9D9D9"/>
            <w:vAlign w:val="center"/>
          </w:tcPr>
          <w:p w14:paraId="3F755A72" w14:textId="77777777" w:rsidR="00CF49B9" w:rsidRDefault="00CF49B9">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152DE639" w:rsidR="00CF49B9" w:rsidRDefault="007954FF">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Consejo Nacional de Evaluación de la Política de Desarrollo Social (CONEVAL)</w:t>
            </w:r>
          </w:p>
        </w:tc>
      </w:tr>
    </w:tbl>
    <w:p w14:paraId="3FE8AA9F" w14:textId="77777777" w:rsidR="00CF49B9" w:rsidRDefault="00CF49B9" w:rsidP="00CF49B9">
      <w:pPr>
        <w:jc w:val="both"/>
        <w:rPr>
          <w:rFonts w:ascii="Cambria" w:eastAsia="Cambria" w:hAnsi="Cambria" w:cs="Cambria"/>
        </w:rPr>
      </w:pPr>
    </w:p>
    <w:p w14:paraId="5BE65C0B" w14:textId="0D33803C"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r w:rsidR="000A3C98">
        <w:rPr>
          <w:rFonts w:ascii="Cambria" w:eastAsia="Cambria" w:hAnsi="Cambria" w:cs="Cambria"/>
          <w:b/>
          <w:color w:val="000000"/>
        </w:rPr>
        <w:t xml:space="preserve"> </w:t>
      </w:r>
    </w:p>
    <w:p w14:paraId="6BEDB8EE" w14:textId="3BEF77A9" w:rsidR="0088018A" w:rsidRDefault="0088018A" w:rsidP="002B1E91">
      <w:pPr>
        <w:pBdr>
          <w:top w:val="nil"/>
          <w:left w:val="nil"/>
          <w:bottom w:val="nil"/>
          <w:right w:val="nil"/>
          <w:between w:val="nil"/>
        </w:pBdr>
        <w:spacing w:after="120" w:line="240" w:lineRule="auto"/>
        <w:jc w:val="both"/>
        <w:rPr>
          <w:rFonts w:ascii="Cambria" w:eastAsia="Cambria" w:hAnsi="Cambria" w:cs="Cambria"/>
          <w:color w:val="000000"/>
        </w:rPr>
      </w:pPr>
      <w:r w:rsidRPr="000A3C98">
        <w:rPr>
          <w:rFonts w:ascii="Cambria" w:eastAsia="Cambria" w:hAnsi="Cambria" w:cs="Cambria"/>
          <w:color w:val="000000"/>
        </w:rPr>
        <w:t>El programa inició su operación en 2019 y, de acuerdo con su normatividad</w:t>
      </w:r>
      <w:r>
        <w:rPr>
          <w:rFonts w:ascii="Cambria" w:eastAsia="Cambria" w:hAnsi="Cambria" w:cs="Cambria"/>
          <w:color w:val="000000"/>
        </w:rPr>
        <w:t>,</w:t>
      </w:r>
      <w:r w:rsidRPr="000A3C98">
        <w:rPr>
          <w:rFonts w:ascii="Cambria" w:eastAsia="Cambria" w:hAnsi="Cambria" w:cs="Cambria"/>
          <w:color w:val="000000"/>
        </w:rPr>
        <w:t xml:space="preserve"> </w:t>
      </w:r>
      <w:r w:rsidRPr="0088018A">
        <w:rPr>
          <w:rFonts w:ascii="Cambria" w:eastAsia="Cambria" w:hAnsi="Cambria" w:cs="Cambria"/>
          <w:color w:val="000000"/>
        </w:rPr>
        <w:t>tiene como objetivo</w:t>
      </w:r>
      <w:r>
        <w:rPr>
          <w:rFonts w:ascii="Cambria" w:eastAsia="Cambria" w:hAnsi="Cambria" w:cs="Cambria"/>
          <w:color w:val="000000"/>
        </w:rPr>
        <w:t xml:space="preserve"> </w:t>
      </w:r>
      <w:r w:rsidR="002B1E91" w:rsidRPr="002B1E91">
        <w:rPr>
          <w:rFonts w:ascii="Cambria" w:eastAsia="Cambria" w:hAnsi="Cambria" w:cs="Cambria"/>
          <w:color w:val="000000"/>
        </w:rPr>
        <w:t>tiene como objetivo incentivar a los productores de</w:t>
      </w:r>
      <w:r w:rsidR="002B1E91">
        <w:rPr>
          <w:rFonts w:ascii="Cambria" w:eastAsia="Cambria" w:hAnsi="Cambria" w:cs="Cambria"/>
          <w:color w:val="000000"/>
        </w:rPr>
        <w:t xml:space="preserve"> </w:t>
      </w:r>
      <w:r w:rsidR="002B1E91" w:rsidRPr="002B1E91">
        <w:rPr>
          <w:rFonts w:ascii="Cambria" w:eastAsia="Cambria" w:hAnsi="Cambria" w:cs="Cambria"/>
          <w:color w:val="000000"/>
        </w:rPr>
        <w:t>pequeña o mediana escala de granos (maíz, frijol, trigo panificable y arroz, entre otros), amaranto,</w:t>
      </w:r>
      <w:r w:rsidR="002B1E91">
        <w:rPr>
          <w:rFonts w:ascii="Cambria" w:eastAsia="Cambria" w:hAnsi="Cambria" w:cs="Cambria"/>
          <w:color w:val="000000"/>
        </w:rPr>
        <w:t xml:space="preserve"> </w:t>
      </w:r>
      <w:r w:rsidR="002B1E91" w:rsidRPr="002B1E91">
        <w:rPr>
          <w:rFonts w:ascii="Cambria" w:eastAsia="Cambria" w:hAnsi="Cambria" w:cs="Cambria"/>
          <w:color w:val="000000"/>
        </w:rPr>
        <w:t>chía, caña de azúcar, café, cacao y miel para contribuir al incremento de su productividad. Para esto</w:t>
      </w:r>
      <w:r w:rsidR="002B1E91">
        <w:rPr>
          <w:rFonts w:ascii="Cambria" w:eastAsia="Cambria" w:hAnsi="Cambria" w:cs="Cambria"/>
          <w:color w:val="000000"/>
        </w:rPr>
        <w:t xml:space="preserve"> </w:t>
      </w:r>
      <w:r w:rsidR="002B1E91" w:rsidRPr="002B1E91">
        <w:rPr>
          <w:rFonts w:ascii="Cambria" w:eastAsia="Cambria" w:hAnsi="Cambria" w:cs="Cambria"/>
          <w:color w:val="000000"/>
        </w:rPr>
        <w:t>implementa tres estrategias o componentes que operan de manera independiente:</w:t>
      </w:r>
      <w:r w:rsidR="002B1E91">
        <w:rPr>
          <w:rFonts w:ascii="Cambria" w:eastAsia="Cambria" w:hAnsi="Cambria" w:cs="Cambria"/>
          <w:color w:val="000000"/>
        </w:rPr>
        <w:t xml:space="preserve"> a) </w:t>
      </w:r>
      <w:r w:rsidR="002B1E91" w:rsidRPr="002B1E91">
        <w:rPr>
          <w:rFonts w:ascii="Cambria" w:eastAsia="Cambria" w:hAnsi="Cambria" w:cs="Cambria"/>
          <w:color w:val="000000"/>
        </w:rPr>
        <w:t xml:space="preserve">Estrategia de Apoyos Directos a </w:t>
      </w:r>
      <w:r w:rsidR="002B1E91" w:rsidRPr="002B1E91">
        <w:rPr>
          <w:rFonts w:ascii="Cambria" w:eastAsia="Cambria" w:hAnsi="Cambria" w:cs="Cambria"/>
          <w:color w:val="000000"/>
        </w:rPr>
        <w:lastRenderedPageBreak/>
        <w:t>Productores (APD) de pequeña o mediana escala</w:t>
      </w:r>
      <w:r w:rsidR="002B1E91">
        <w:rPr>
          <w:rFonts w:ascii="Cambria" w:eastAsia="Cambria" w:hAnsi="Cambria" w:cs="Cambria"/>
          <w:color w:val="000000"/>
        </w:rPr>
        <w:t>; b)</w:t>
      </w:r>
      <w:r w:rsidR="002B1E91" w:rsidRPr="002B1E91">
        <w:rPr>
          <w:rFonts w:ascii="Cambria" w:eastAsia="Cambria" w:hAnsi="Cambria" w:cs="Cambria"/>
          <w:color w:val="000000"/>
        </w:rPr>
        <w:t xml:space="preserve"> Estrategia de Acompañamiento Técnico (EAT) que brinda capacitación y/o acompañamiento</w:t>
      </w:r>
      <w:r w:rsidR="002B1E91">
        <w:rPr>
          <w:rFonts w:ascii="Cambria" w:eastAsia="Cambria" w:hAnsi="Cambria" w:cs="Cambria"/>
          <w:color w:val="000000"/>
        </w:rPr>
        <w:t xml:space="preserve"> </w:t>
      </w:r>
      <w:r w:rsidR="002B1E91" w:rsidRPr="002B1E91">
        <w:rPr>
          <w:rFonts w:ascii="Cambria" w:eastAsia="Cambria" w:hAnsi="Cambria" w:cs="Cambria"/>
          <w:color w:val="000000"/>
        </w:rPr>
        <w:t>técnico-organizativo para facilitar la adopción de prácticas agroecológicas y sustentables e</w:t>
      </w:r>
      <w:r w:rsidR="002B1E91">
        <w:rPr>
          <w:rFonts w:ascii="Cambria" w:eastAsia="Cambria" w:hAnsi="Cambria" w:cs="Cambria"/>
          <w:color w:val="000000"/>
        </w:rPr>
        <w:t xml:space="preserve"> </w:t>
      </w:r>
      <w:r w:rsidR="002B1E91" w:rsidRPr="002B1E91">
        <w:rPr>
          <w:rFonts w:ascii="Cambria" w:eastAsia="Cambria" w:hAnsi="Cambria" w:cs="Cambria"/>
          <w:color w:val="000000"/>
        </w:rPr>
        <w:t>incrementar los rendimientos de los cultivos</w:t>
      </w:r>
      <w:r w:rsidR="002B1E91">
        <w:rPr>
          <w:rFonts w:ascii="Cambria" w:eastAsia="Cambria" w:hAnsi="Cambria" w:cs="Cambria"/>
          <w:color w:val="000000"/>
        </w:rPr>
        <w:t xml:space="preserve">; c) </w:t>
      </w:r>
      <w:r w:rsidR="002B1E91" w:rsidRPr="002B1E91">
        <w:rPr>
          <w:rFonts w:ascii="Cambria" w:eastAsia="Cambria" w:hAnsi="Cambria" w:cs="Cambria"/>
          <w:color w:val="000000"/>
        </w:rPr>
        <w:t>Estrategia de Fomento al Acceso a Financiamiento (EFAF) que busca fomentar el acceso al</w:t>
      </w:r>
      <w:r w:rsidR="002B1E91">
        <w:rPr>
          <w:rFonts w:ascii="Cambria" w:eastAsia="Cambria" w:hAnsi="Cambria" w:cs="Cambria"/>
          <w:color w:val="000000"/>
        </w:rPr>
        <w:t xml:space="preserve"> </w:t>
      </w:r>
      <w:r w:rsidR="002B1E91" w:rsidRPr="002B1E91">
        <w:rPr>
          <w:rFonts w:ascii="Cambria" w:eastAsia="Cambria" w:hAnsi="Cambria" w:cs="Cambria"/>
          <w:color w:val="000000"/>
        </w:rPr>
        <w:t>financiamiento formal a los productores beneficiarios del PPB, prioritariamente a los que reciben</w:t>
      </w:r>
      <w:r w:rsidR="002B1E91">
        <w:rPr>
          <w:rFonts w:ascii="Cambria" w:eastAsia="Cambria" w:hAnsi="Cambria" w:cs="Cambria"/>
          <w:color w:val="000000"/>
        </w:rPr>
        <w:t xml:space="preserve"> </w:t>
      </w:r>
      <w:r w:rsidR="002B1E91" w:rsidRPr="002B1E91">
        <w:rPr>
          <w:rFonts w:ascii="Cambria" w:eastAsia="Cambria" w:hAnsi="Cambria" w:cs="Cambria"/>
          <w:color w:val="000000"/>
        </w:rPr>
        <w:t>el acompañamiento técnico.</w:t>
      </w:r>
    </w:p>
    <w:p w14:paraId="68133DF5" w14:textId="0C9EF170" w:rsidR="00CF49B9" w:rsidRDefault="00CF49B9" w:rsidP="00875A45">
      <w:pPr>
        <w:pBdr>
          <w:top w:val="nil"/>
          <w:left w:val="nil"/>
          <w:bottom w:val="nil"/>
          <w:right w:val="nil"/>
          <w:between w:val="nil"/>
        </w:pBdr>
        <w:spacing w:after="120" w:line="240" w:lineRule="auto"/>
        <w:jc w:val="both"/>
        <w:rPr>
          <w:rFonts w:ascii="Cambria" w:eastAsia="Cambria" w:hAnsi="Cambria" w:cs="Cambria"/>
          <w:color w:val="000000"/>
        </w:rPr>
      </w:pPr>
      <w:r w:rsidRPr="0098066E">
        <w:rPr>
          <w:rFonts w:asciiTheme="minorHAnsi" w:hAnsiTheme="minorHAnsi"/>
          <w:b/>
          <w:color w:val="000000"/>
        </w:rPr>
        <w:t>Principales hallazgos de la evaluación</w:t>
      </w:r>
      <w:r>
        <w:rPr>
          <w:rFonts w:ascii="Cambria" w:eastAsia="Cambria" w:hAnsi="Cambria" w:cs="Cambria"/>
          <w:b/>
          <w:color w:val="000000"/>
        </w:rPr>
        <w:t xml:space="preserve"> </w:t>
      </w:r>
    </w:p>
    <w:p w14:paraId="5A5EE45D" w14:textId="3FC99AEF" w:rsidR="00720D89" w:rsidRPr="00720D89" w:rsidRDefault="00875A45" w:rsidP="00720D8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Se identificaron fortalezas en la implementación </w:t>
      </w:r>
      <w:r w:rsidRPr="00875A45">
        <w:rPr>
          <w:rFonts w:ascii="Cambria" w:eastAsia="Cambria" w:hAnsi="Cambria" w:cs="Cambria"/>
          <w:color w:val="000000"/>
        </w:rPr>
        <w:t>del Programa</w:t>
      </w:r>
      <w:r>
        <w:rPr>
          <w:rFonts w:ascii="Cambria" w:eastAsia="Cambria" w:hAnsi="Cambria" w:cs="Cambria"/>
          <w:color w:val="000000"/>
        </w:rPr>
        <w:t xml:space="preserve">: la primera es que, </w:t>
      </w:r>
      <w:r w:rsidRPr="00875A45">
        <w:rPr>
          <w:rFonts w:ascii="Cambria" w:eastAsia="Cambria" w:hAnsi="Cambria" w:cs="Cambria"/>
          <w:color w:val="000000"/>
        </w:rPr>
        <w:t>como resultado de una colaboración entre actores</w:t>
      </w:r>
      <w:r>
        <w:rPr>
          <w:rFonts w:ascii="Cambria" w:eastAsia="Cambria" w:hAnsi="Cambria" w:cs="Cambria"/>
          <w:color w:val="000000"/>
        </w:rPr>
        <w:t xml:space="preserve"> </w:t>
      </w:r>
      <w:r w:rsidRPr="00875A45">
        <w:rPr>
          <w:rFonts w:ascii="Cambria" w:eastAsia="Cambria" w:hAnsi="Cambria" w:cs="Cambria"/>
          <w:color w:val="000000"/>
        </w:rPr>
        <w:t>responsables y ejecutores, se logró consolidar un padrón de beneficiarios que es público y accesible</w:t>
      </w:r>
      <w:r>
        <w:rPr>
          <w:rFonts w:ascii="Cambria" w:eastAsia="Cambria" w:hAnsi="Cambria" w:cs="Cambria"/>
          <w:color w:val="000000"/>
        </w:rPr>
        <w:t xml:space="preserve"> </w:t>
      </w:r>
      <w:r w:rsidRPr="00875A45">
        <w:rPr>
          <w:rFonts w:ascii="Cambria" w:eastAsia="Cambria" w:hAnsi="Cambria" w:cs="Cambria"/>
          <w:color w:val="000000"/>
        </w:rPr>
        <w:t>para la consulta de información, además de ser un insumo base para otros procesos.</w:t>
      </w:r>
      <w:r>
        <w:rPr>
          <w:rFonts w:ascii="Cambria" w:eastAsia="Cambria" w:hAnsi="Cambria" w:cs="Cambria"/>
          <w:color w:val="000000"/>
        </w:rPr>
        <w:t xml:space="preserve"> Otra </w:t>
      </w:r>
      <w:r w:rsidRPr="00875A45">
        <w:rPr>
          <w:rFonts w:ascii="Cambria" w:eastAsia="Cambria" w:hAnsi="Cambria" w:cs="Cambria"/>
          <w:color w:val="000000"/>
        </w:rPr>
        <w:t>fortaleza es que, debido a que el plan de transición agroecológica se formula con base</w:t>
      </w:r>
      <w:r>
        <w:rPr>
          <w:rFonts w:ascii="Cambria" w:eastAsia="Cambria" w:hAnsi="Cambria" w:cs="Cambria"/>
          <w:color w:val="000000"/>
        </w:rPr>
        <w:t xml:space="preserve"> </w:t>
      </w:r>
      <w:r w:rsidRPr="00875A45">
        <w:rPr>
          <w:rFonts w:ascii="Cambria" w:eastAsia="Cambria" w:hAnsi="Cambria" w:cs="Cambria"/>
          <w:color w:val="000000"/>
        </w:rPr>
        <w:t>en las necesidades y opiniones de los productores, la Estrategia de Acompañamiento Técnico tiene</w:t>
      </w:r>
      <w:r>
        <w:rPr>
          <w:rFonts w:ascii="Cambria" w:eastAsia="Cambria" w:hAnsi="Cambria" w:cs="Cambria"/>
          <w:color w:val="000000"/>
        </w:rPr>
        <w:t xml:space="preserve"> </w:t>
      </w:r>
      <w:r w:rsidRPr="00875A45">
        <w:rPr>
          <w:rFonts w:ascii="Cambria" w:eastAsia="Cambria" w:hAnsi="Cambria" w:cs="Cambria"/>
          <w:color w:val="000000"/>
        </w:rPr>
        <w:t>la capacidad de adaptación a los contextos productivos en los que opera, facilitando la adopción de las prácticas agroecológicas</w:t>
      </w:r>
      <w:r>
        <w:rPr>
          <w:rFonts w:ascii="Cambria" w:eastAsia="Cambria" w:hAnsi="Cambria" w:cs="Cambria"/>
          <w:color w:val="000000"/>
        </w:rPr>
        <w:t xml:space="preserve">. </w:t>
      </w:r>
      <w:r w:rsidR="00720D89">
        <w:rPr>
          <w:rFonts w:ascii="Cambria" w:eastAsia="Cambria" w:hAnsi="Cambria" w:cs="Cambria"/>
          <w:color w:val="000000"/>
        </w:rPr>
        <w:t>E</w:t>
      </w:r>
      <w:r>
        <w:rPr>
          <w:rFonts w:ascii="Cambria" w:eastAsia="Cambria" w:hAnsi="Cambria" w:cs="Cambria"/>
          <w:color w:val="000000"/>
        </w:rPr>
        <w:t xml:space="preserve">n </w:t>
      </w:r>
      <w:r w:rsidR="00720D89">
        <w:rPr>
          <w:rFonts w:ascii="Cambria" w:eastAsia="Cambria" w:hAnsi="Cambria" w:cs="Cambria"/>
          <w:color w:val="000000"/>
        </w:rPr>
        <w:t>la Estrategia de ADP se observó que e</w:t>
      </w:r>
      <w:r w:rsidRPr="00875A45">
        <w:rPr>
          <w:rFonts w:ascii="Cambria" w:eastAsia="Cambria" w:hAnsi="Cambria" w:cs="Cambria"/>
          <w:color w:val="000000"/>
        </w:rPr>
        <w:t xml:space="preserve">n ejercicios anteriores se había </w:t>
      </w:r>
      <w:r w:rsidR="00720D89">
        <w:rPr>
          <w:rFonts w:ascii="Cambria" w:eastAsia="Cambria" w:hAnsi="Cambria" w:cs="Cambria"/>
          <w:color w:val="000000"/>
        </w:rPr>
        <w:t>logrado una consolidación operativa</w:t>
      </w:r>
      <w:r w:rsidRPr="00875A45">
        <w:rPr>
          <w:rFonts w:ascii="Cambria" w:eastAsia="Cambria" w:hAnsi="Cambria" w:cs="Cambria"/>
          <w:color w:val="000000"/>
        </w:rPr>
        <w:t>, sin embargo, por cambios en 2022 se generaron complicaciones</w:t>
      </w:r>
      <w:r w:rsidR="00720D89">
        <w:rPr>
          <w:rFonts w:ascii="Cambria" w:eastAsia="Cambria" w:hAnsi="Cambria" w:cs="Cambria"/>
          <w:color w:val="000000"/>
        </w:rPr>
        <w:t xml:space="preserve"> derivadas de la difusión </w:t>
      </w:r>
      <w:r w:rsidR="005E7C8F">
        <w:rPr>
          <w:rFonts w:ascii="Cambria" w:eastAsia="Cambria" w:hAnsi="Cambria" w:cs="Cambria"/>
          <w:color w:val="000000"/>
        </w:rPr>
        <w:t xml:space="preserve">y ratificación realizada por la Secretaría de Bienestar mediante los Servidores de la Nación (SN), </w:t>
      </w:r>
      <w:r w:rsidR="00720D89">
        <w:rPr>
          <w:rFonts w:ascii="Cambria" w:eastAsia="Cambria" w:hAnsi="Cambria" w:cs="Cambria"/>
          <w:color w:val="000000"/>
        </w:rPr>
        <w:t xml:space="preserve">y la desorientación que mostraron los beneficiarios al no identificar que los </w:t>
      </w:r>
      <w:r w:rsidR="00720D89" w:rsidRPr="00720D89">
        <w:rPr>
          <w:rFonts w:ascii="Cambria" w:eastAsia="Cambria" w:hAnsi="Cambria" w:cs="Cambria"/>
          <w:color w:val="000000"/>
        </w:rPr>
        <w:t>Centros de Apoyo al Desarrollo Rural (CADER) no participaban en la implementación del programa. La EAT tiene pocos años de operación, por lo que su consolidación operativa está en desarrollo, además se observó que</w:t>
      </w:r>
      <w:r w:rsidR="005E7C8F">
        <w:rPr>
          <w:rFonts w:ascii="Cambria" w:eastAsia="Cambria" w:hAnsi="Cambria" w:cs="Cambria"/>
          <w:color w:val="000000"/>
        </w:rPr>
        <w:t xml:space="preserve"> </w:t>
      </w:r>
      <w:r w:rsidR="00720D89" w:rsidRPr="00720D89">
        <w:rPr>
          <w:rFonts w:ascii="Cambria" w:eastAsia="Cambria" w:hAnsi="Cambria" w:cs="Cambria"/>
          <w:color w:val="000000"/>
        </w:rPr>
        <w:t>la estrategia aún no logra una convocatoria amplia de beneficiarios</w:t>
      </w:r>
      <w:r w:rsidR="008F400E">
        <w:rPr>
          <w:rFonts w:ascii="Cambria" w:eastAsia="Cambria" w:hAnsi="Cambria" w:cs="Cambria"/>
          <w:color w:val="000000"/>
        </w:rPr>
        <w:t xml:space="preserve"> y que los técnicos que brindan acompañamiento presentan una sobrecarga de trabajo en el seguimiento a las ECA</w:t>
      </w:r>
      <w:r w:rsidR="00720D89" w:rsidRPr="00720D89">
        <w:rPr>
          <w:rFonts w:ascii="Cambria" w:eastAsia="Cambria" w:hAnsi="Cambria" w:cs="Cambria"/>
          <w:color w:val="000000"/>
        </w:rPr>
        <w:t>. De acuerdo con los resultados, se observa que la EFAF deberá consolidarse en los próximos ejercicios, aunque los procesos de Promoción y diseño de productos crediticios dependen fuertemente de los técnicos de la EAT y mostraron un conocimiento limitado en aspectos diversos de la EFAF, además en las reglas de Operación 2022 del Programa no se señala explícitamente la participación de los técnicos de la EAT en la EFAF.</w:t>
      </w:r>
    </w:p>
    <w:p w14:paraId="248BD2F1" w14:textId="2F899148" w:rsidR="00614444" w:rsidRDefault="00614444"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Principales recomendaciones de la evaluación</w:t>
      </w:r>
    </w:p>
    <w:p w14:paraId="4BA9D785" w14:textId="24FC32FF" w:rsidR="005E7C8F" w:rsidRPr="002B1E91" w:rsidRDefault="005E7C8F" w:rsidP="005E7C8F">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Para atender las áreas de oportunidad observadas en la implementación de la Estrategia de ADP y, </w:t>
      </w:r>
      <w:r w:rsidRPr="002B1E91">
        <w:rPr>
          <w:rFonts w:ascii="Cambria" w:eastAsia="Cambria" w:hAnsi="Cambria" w:cs="Cambria"/>
          <w:color w:val="000000"/>
        </w:rPr>
        <w:t>en caso de que el proceso de difusión se siga realizando a través de los SN, se recomienda informar bien y oportunamente a los beneficiarios que los CADER no seguirán participando en el programa. Respecto a los procesos de la EAT, se sugiere incrementar, en la medida de lo posible, el intercambio de experiencias entre 5 productores, ya que al generar interacción de “productor a productor” existen mayores probabilidades de que los productores participen en la estrategia. Finalmente, en cuanto a la EFAF se sugiere fortalecer los programas de capacitación de los técnicos de EAT que participen en los procesos de promoción, el diseño de paquetes crediticios específicos, para la estructuración de los expedientes de crédito, así como para el seguimiento al crédito (cuando aplique). De igual manera, se requiere que los responsables de ambas estrategias formalicen las actividades en las que participan los técnicos de la EAT en la EFAF a fin de brindar claridad en los procesos en los que intervienen.</w:t>
      </w:r>
    </w:p>
    <w:p w14:paraId="551D47A7" w14:textId="77777777"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4FB57477" w14:textId="269B3E37" w:rsidR="000A3C98" w:rsidRPr="000A3C98" w:rsidRDefault="008F400E"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Para atender las áreas de oportunidad vinculadas con la difusión e</w:t>
      </w:r>
      <w:r w:rsidRPr="008F400E">
        <w:rPr>
          <w:rFonts w:ascii="Cambria" w:eastAsia="Cambria" w:hAnsi="Cambria" w:cs="Cambria"/>
          <w:color w:val="000000"/>
        </w:rPr>
        <w:t>s recomendable realizar brigadas de asesoría conjuntas entre la UR y la Instancia Ejecutora, en las cuales se comunique a los beneficiarios</w:t>
      </w:r>
      <w:r>
        <w:rPr>
          <w:rFonts w:ascii="Cambria" w:eastAsia="Cambria" w:hAnsi="Cambria" w:cs="Cambria"/>
          <w:color w:val="000000"/>
        </w:rPr>
        <w:t xml:space="preserve"> los elementos más relevantes de la implementación del programa. De igual manera, para atender</w:t>
      </w:r>
      <w:r w:rsidRPr="002B1E91">
        <w:rPr>
          <w:rFonts w:ascii="Cambria" w:eastAsia="Cambria" w:hAnsi="Cambria" w:cs="Cambria"/>
          <w:color w:val="000000"/>
        </w:rPr>
        <w:t xml:space="preserve"> l</w:t>
      </w:r>
      <w:r w:rsidRPr="008F400E">
        <w:rPr>
          <w:rFonts w:ascii="Cambria" w:eastAsia="Cambria" w:hAnsi="Cambria" w:cs="Cambria"/>
          <w:color w:val="000000"/>
        </w:rPr>
        <w:t xml:space="preserve">a alta carga de actividades de los técnicos </w:t>
      </w:r>
      <w:r>
        <w:rPr>
          <w:rFonts w:ascii="Cambria" w:eastAsia="Cambria" w:hAnsi="Cambria" w:cs="Cambria"/>
          <w:color w:val="000000"/>
        </w:rPr>
        <w:t>de la ETA</w:t>
      </w:r>
      <w:r w:rsidRPr="008F400E">
        <w:rPr>
          <w:rFonts w:ascii="Cambria" w:eastAsia="Cambria" w:hAnsi="Cambria" w:cs="Cambria"/>
          <w:color w:val="000000"/>
        </w:rPr>
        <w:t xml:space="preserve"> se recomienda prever </w:t>
      </w:r>
      <w:r w:rsidRPr="008F400E">
        <w:rPr>
          <w:rFonts w:ascii="Cambria" w:eastAsia="Cambria" w:hAnsi="Cambria" w:cs="Cambria"/>
          <w:color w:val="000000"/>
        </w:rPr>
        <w:lastRenderedPageBreak/>
        <w:t>un crecimiento intensivo en lugar de extensivo integrando a más beneficiarios por ECA enfatizando en territorios con mayor número de productores</w:t>
      </w:r>
      <w:r>
        <w:rPr>
          <w:rFonts w:ascii="Cambria" w:eastAsia="Cambria" w:hAnsi="Cambria" w:cs="Cambria"/>
          <w:color w:val="000000"/>
        </w:rPr>
        <w:t>.</w:t>
      </w: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rsidSect="000A3C98">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11620" w14:textId="77777777" w:rsidR="00C32C2E" w:rsidRDefault="00C32C2E" w:rsidP="00CF49B9">
      <w:pPr>
        <w:spacing w:after="0" w:line="240" w:lineRule="auto"/>
      </w:pPr>
      <w:r>
        <w:separator/>
      </w:r>
    </w:p>
  </w:endnote>
  <w:endnote w:type="continuationSeparator" w:id="0">
    <w:p w14:paraId="3320CC81" w14:textId="77777777" w:rsidR="00C32C2E" w:rsidRDefault="00C32C2E"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709B" w14:textId="77777777" w:rsidR="00C32C2E" w:rsidRDefault="00C32C2E" w:rsidP="00CF49B9">
      <w:pPr>
        <w:spacing w:after="0" w:line="240" w:lineRule="auto"/>
      </w:pPr>
      <w:r>
        <w:separator/>
      </w:r>
    </w:p>
  </w:footnote>
  <w:footnote w:type="continuationSeparator" w:id="0">
    <w:p w14:paraId="3948A6CF" w14:textId="77777777" w:rsidR="00C32C2E" w:rsidRDefault="00C32C2E"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7"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70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0A3C98"/>
    <w:rsid w:val="00127233"/>
    <w:rsid w:val="002B1E91"/>
    <w:rsid w:val="00314B51"/>
    <w:rsid w:val="003F2EAB"/>
    <w:rsid w:val="00483939"/>
    <w:rsid w:val="005D623F"/>
    <w:rsid w:val="005E0E62"/>
    <w:rsid w:val="005E7C8F"/>
    <w:rsid w:val="00614444"/>
    <w:rsid w:val="00720D89"/>
    <w:rsid w:val="00770106"/>
    <w:rsid w:val="00786C38"/>
    <w:rsid w:val="007954FF"/>
    <w:rsid w:val="00820861"/>
    <w:rsid w:val="00846880"/>
    <w:rsid w:val="00852FD2"/>
    <w:rsid w:val="00856DF8"/>
    <w:rsid w:val="00875A45"/>
    <w:rsid w:val="0088018A"/>
    <w:rsid w:val="008B67B6"/>
    <w:rsid w:val="008F400E"/>
    <w:rsid w:val="009F2133"/>
    <w:rsid w:val="00A86DC3"/>
    <w:rsid w:val="00B041D2"/>
    <w:rsid w:val="00B23A0A"/>
    <w:rsid w:val="00B42C5C"/>
    <w:rsid w:val="00B9650F"/>
    <w:rsid w:val="00BC3954"/>
    <w:rsid w:val="00C16422"/>
    <w:rsid w:val="00C32C2E"/>
    <w:rsid w:val="00C82D4C"/>
    <w:rsid w:val="00CF49B9"/>
    <w:rsid w:val="00D94126"/>
    <w:rsid w:val="00DF5BC5"/>
    <w:rsid w:val="00E56094"/>
    <w:rsid w:val="00EA0137"/>
    <w:rsid w:val="00EB3B1D"/>
    <w:rsid w:val="00FF673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41AE8F42-54B7-46F4-BEBF-571FAFA13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customStyle="1" w:styleId="Default">
    <w:name w:val="Default"/>
    <w:rsid w:val="008F400E"/>
    <w:pPr>
      <w:autoSpaceDE w:val="0"/>
      <w:autoSpaceDN w:val="0"/>
      <w:adjustRightInd w:val="0"/>
      <w:spacing w:after="0" w:line="240" w:lineRule="auto"/>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1094</Words>
  <Characters>6019</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Carolina Maldonado Carreño</cp:lastModifiedBy>
  <cp:revision>5</cp:revision>
  <dcterms:created xsi:type="dcterms:W3CDTF">2022-10-14T17:51:00Z</dcterms:created>
  <dcterms:modified xsi:type="dcterms:W3CDTF">2022-10-14T17:57:00Z</dcterms:modified>
</cp:coreProperties>
</file>